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97278" w14:textId="49E1A33C" w:rsidR="000345C2" w:rsidRPr="000818E2" w:rsidRDefault="000345C2" w:rsidP="000818E2">
      <w:pPr>
        <w:tabs>
          <w:tab w:val="left" w:pos="6802"/>
        </w:tabs>
        <w:jc w:val="center"/>
        <w:rPr>
          <w:rFonts w:asciiTheme="minorBidi" w:hAnsiTheme="minorBidi" w:cstheme="minorBidi"/>
          <w:b/>
          <w:bCs/>
          <w:sz w:val="48"/>
          <w:szCs w:val="48"/>
        </w:rPr>
      </w:pPr>
      <w:r w:rsidRPr="000345C2">
        <w:rPr>
          <w:rFonts w:asciiTheme="minorBidi" w:hAnsiTheme="minorBidi" w:cstheme="minorBidi"/>
          <w:b/>
          <w:bCs/>
          <w:sz w:val="48"/>
          <w:szCs w:val="48"/>
        </w:rPr>
        <w:t>Learner Grievance Procedure</w:t>
      </w:r>
    </w:p>
    <w:p w14:paraId="7F591120" w14:textId="70C93A0C" w:rsidR="000345C2" w:rsidRPr="005D49E7" w:rsidRDefault="000345C2" w:rsidP="005D49E7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5D49E7">
        <w:rPr>
          <w:rFonts w:asciiTheme="minorBidi" w:hAnsiTheme="minorBidi" w:cstheme="minorBidi"/>
          <w:b/>
          <w:bCs/>
          <w:sz w:val="28"/>
          <w:szCs w:val="28"/>
        </w:rPr>
        <w:t>Purpose</w:t>
      </w:r>
    </w:p>
    <w:p w14:paraId="0127C1C1" w14:textId="02ED0807" w:rsidR="005D49E7" w:rsidRPr="00D90651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4"/>
          <w:szCs w:val="24"/>
        </w:rPr>
      </w:pPr>
      <w:r w:rsidRPr="00D90651">
        <w:rPr>
          <w:rFonts w:asciiTheme="minorBidi" w:hAnsiTheme="minorBidi" w:cstheme="minorBidi"/>
          <w:sz w:val="24"/>
          <w:szCs w:val="24"/>
        </w:rPr>
        <w:t>The Learner/Staff Grievance Policy aims to establish fair and structured processes for resolving grievances raised by learners or staff members. The policy ensures that disputes are managed in a consistent and equitable manner, fostering trust and transparency within the institute.</w:t>
      </w:r>
    </w:p>
    <w:p w14:paraId="532B6E54" w14:textId="66846A8E" w:rsidR="000345C2" w:rsidRPr="004B0E30" w:rsidRDefault="000345C2" w:rsidP="005D49E7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4B0E30">
        <w:rPr>
          <w:rFonts w:asciiTheme="minorBidi" w:hAnsiTheme="minorBidi" w:cstheme="minorBidi"/>
          <w:b/>
          <w:bCs/>
          <w:sz w:val="28"/>
          <w:szCs w:val="28"/>
        </w:rPr>
        <w:t>Definitions</w:t>
      </w:r>
    </w:p>
    <w:p w14:paraId="44345E6A" w14:textId="28FEBFC2" w:rsidR="000345C2" w:rsidRPr="00D90651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4"/>
          <w:szCs w:val="24"/>
        </w:rPr>
      </w:pPr>
      <w:r w:rsidRPr="00D90651">
        <w:rPr>
          <w:rFonts w:asciiTheme="minorBidi" w:hAnsiTheme="minorBidi" w:cstheme="minorBidi"/>
          <w:sz w:val="24"/>
          <w:szCs w:val="24"/>
        </w:rPr>
        <w:t>Grievance: A formal dispute or disagreement between a learner and a TQTI employee regarding the interpretation or application of the institute’s non-academic policies, procedures, or services provided. Grievances may arise from:</w:t>
      </w:r>
    </w:p>
    <w:p w14:paraId="2816D071" w14:textId="033634BC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 xml:space="preserve">- Failure to deliver </w:t>
      </w:r>
      <w:r w:rsidR="005D49E7">
        <w:rPr>
          <w:rFonts w:asciiTheme="minorBidi" w:hAnsiTheme="minorBidi" w:cstheme="minorBidi"/>
          <w:sz w:val="28"/>
          <w:szCs w:val="28"/>
        </w:rPr>
        <w:t>a</w:t>
      </w:r>
      <w:r w:rsidR="005D49E7" w:rsidRPr="000345C2">
        <w:rPr>
          <w:rFonts w:asciiTheme="minorBidi" w:hAnsiTheme="minorBidi" w:cstheme="minorBidi"/>
          <w:sz w:val="28"/>
          <w:szCs w:val="28"/>
        </w:rPr>
        <w:t xml:space="preserve"> promised</w:t>
      </w:r>
      <w:r w:rsidRPr="000345C2">
        <w:rPr>
          <w:rFonts w:asciiTheme="minorBidi" w:hAnsiTheme="minorBidi" w:cstheme="minorBidi"/>
          <w:sz w:val="28"/>
          <w:szCs w:val="28"/>
        </w:rPr>
        <w:t xml:space="preserve"> service.</w:t>
      </w:r>
    </w:p>
    <w:p w14:paraId="0E4740EB" w14:textId="56578E58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>- Arbitrary or inconsistent actions by TQTI employees or departments.</w:t>
      </w:r>
    </w:p>
    <w:p w14:paraId="5E921DE2" w14:textId="77FCB921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>- Unfair application of a policy or procedure compared to others.</w:t>
      </w:r>
    </w:p>
    <w:p w14:paraId="2F8BD72B" w14:textId="41A8C727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>- Administrative errors in applying policies or procedures.</w:t>
      </w:r>
    </w:p>
    <w:p w14:paraId="49D50E05" w14:textId="17B41E3B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 xml:space="preserve">- Working Days: Sunday </w:t>
      </w:r>
      <w:r w:rsidR="005D49E7">
        <w:rPr>
          <w:rFonts w:asciiTheme="minorBidi" w:hAnsiTheme="minorBidi" w:cstheme="minorBidi"/>
          <w:sz w:val="28"/>
          <w:szCs w:val="28"/>
        </w:rPr>
        <w:t>to</w:t>
      </w:r>
      <w:r w:rsidRPr="000345C2">
        <w:rPr>
          <w:rFonts w:asciiTheme="minorBidi" w:hAnsiTheme="minorBidi" w:cstheme="minorBidi"/>
          <w:sz w:val="28"/>
          <w:szCs w:val="28"/>
        </w:rPr>
        <w:t xml:space="preserve"> Thursday</w:t>
      </w:r>
      <w:r w:rsidR="00637CE0">
        <w:rPr>
          <w:rFonts w:asciiTheme="minorBidi" w:hAnsiTheme="minorBidi" w:cstheme="minorBidi"/>
          <w:sz w:val="28"/>
          <w:szCs w:val="28"/>
        </w:rPr>
        <w:t xml:space="preserve"> </w:t>
      </w:r>
      <w:r w:rsidR="00206EDB">
        <w:rPr>
          <w:rFonts w:asciiTheme="minorBidi" w:hAnsiTheme="minorBidi" w:cstheme="minorBidi"/>
          <w:sz w:val="28"/>
          <w:szCs w:val="28"/>
        </w:rPr>
        <w:t>(</w:t>
      </w:r>
      <w:r w:rsidR="00637CE0">
        <w:rPr>
          <w:rFonts w:asciiTheme="minorBidi" w:hAnsiTheme="minorBidi" w:cstheme="minorBidi"/>
          <w:sz w:val="28"/>
          <w:szCs w:val="28"/>
        </w:rPr>
        <w:t xml:space="preserve">07:00 am </w:t>
      </w:r>
      <w:r w:rsidR="00206EDB">
        <w:rPr>
          <w:rFonts w:asciiTheme="minorBidi" w:hAnsiTheme="minorBidi" w:cstheme="minorBidi"/>
          <w:sz w:val="28"/>
          <w:szCs w:val="28"/>
        </w:rPr>
        <w:t>-</w:t>
      </w:r>
      <w:r w:rsidR="00637CE0">
        <w:rPr>
          <w:rFonts w:asciiTheme="minorBidi" w:hAnsiTheme="minorBidi" w:cstheme="minorBidi"/>
          <w:sz w:val="28"/>
          <w:szCs w:val="28"/>
        </w:rPr>
        <w:t xml:space="preserve"> 04:00 pm</w:t>
      </w:r>
      <w:r w:rsidR="00206EDB">
        <w:rPr>
          <w:rFonts w:asciiTheme="minorBidi" w:hAnsiTheme="minorBidi" w:cstheme="minorBidi"/>
          <w:sz w:val="28"/>
          <w:szCs w:val="28"/>
        </w:rPr>
        <w:t>)</w:t>
      </w:r>
      <w:r w:rsidRPr="000345C2">
        <w:rPr>
          <w:rFonts w:asciiTheme="minorBidi" w:hAnsiTheme="minorBidi" w:cstheme="minorBidi"/>
          <w:sz w:val="28"/>
          <w:szCs w:val="28"/>
        </w:rPr>
        <w:t>, excluding TQTI-recognized holidays.</w:t>
      </w:r>
    </w:p>
    <w:p w14:paraId="2CA0ACB8" w14:textId="7FEC81DF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 xml:space="preserve">- Relevant Administrator: The designated </w:t>
      </w:r>
      <w:r w:rsidR="00FD43BE">
        <w:rPr>
          <w:rFonts w:asciiTheme="minorBidi" w:hAnsiTheme="minorBidi" w:cstheme="minorBidi"/>
          <w:sz w:val="28"/>
          <w:szCs w:val="28"/>
        </w:rPr>
        <w:t>Training Supervisor</w:t>
      </w:r>
      <w:r w:rsidRPr="000345C2">
        <w:rPr>
          <w:rFonts w:asciiTheme="minorBidi" w:hAnsiTheme="minorBidi" w:cstheme="minorBidi"/>
          <w:sz w:val="28"/>
          <w:szCs w:val="28"/>
        </w:rPr>
        <w:t xml:space="preserve">, or other authorized personnel responsible for the department in which the issue originates. Any disputes regarding the appropriate administrator are resolved by the Manager </w:t>
      </w:r>
      <w:r w:rsidR="00FD43BE">
        <w:rPr>
          <w:rFonts w:asciiTheme="minorBidi" w:hAnsiTheme="minorBidi" w:cstheme="minorBidi"/>
          <w:sz w:val="28"/>
          <w:szCs w:val="28"/>
        </w:rPr>
        <w:t>of the institute</w:t>
      </w:r>
      <w:r w:rsidRPr="000345C2">
        <w:rPr>
          <w:rFonts w:asciiTheme="minorBidi" w:hAnsiTheme="minorBidi" w:cstheme="minorBidi"/>
          <w:sz w:val="28"/>
          <w:szCs w:val="28"/>
        </w:rPr>
        <w:t>.</w:t>
      </w:r>
    </w:p>
    <w:p w14:paraId="7767B2DA" w14:textId="3915FDA1" w:rsidR="000345C2" w:rsidRDefault="000345C2" w:rsidP="00FF7A3E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 xml:space="preserve">- Relevant Director, Manager, or </w:t>
      </w:r>
      <w:r w:rsidR="00FD43BE">
        <w:rPr>
          <w:rFonts w:asciiTheme="minorBidi" w:hAnsiTheme="minorBidi" w:cstheme="minorBidi"/>
          <w:sz w:val="28"/>
          <w:szCs w:val="28"/>
        </w:rPr>
        <w:t xml:space="preserve">Training Supervisor or </w:t>
      </w:r>
      <w:r w:rsidR="00014D35" w:rsidRPr="000345C2">
        <w:rPr>
          <w:rFonts w:asciiTheme="minorBidi" w:hAnsiTheme="minorBidi" w:cstheme="minorBidi"/>
          <w:sz w:val="28"/>
          <w:szCs w:val="28"/>
        </w:rPr>
        <w:t>the</w:t>
      </w:r>
      <w:r w:rsidRPr="000345C2">
        <w:rPr>
          <w:rFonts w:asciiTheme="minorBidi" w:hAnsiTheme="minorBidi" w:cstheme="minorBidi"/>
          <w:sz w:val="28"/>
          <w:szCs w:val="28"/>
        </w:rPr>
        <w:t xml:space="preserve"> office responsible </w:t>
      </w:r>
      <w:r w:rsidR="00FD43BE">
        <w:rPr>
          <w:rFonts w:asciiTheme="minorBidi" w:hAnsiTheme="minorBidi" w:cstheme="minorBidi"/>
          <w:sz w:val="28"/>
          <w:szCs w:val="28"/>
        </w:rPr>
        <w:t>from the department where the issue is examined.</w:t>
      </w:r>
    </w:p>
    <w:p w14:paraId="08A88B2A" w14:textId="77777777" w:rsidR="00936531" w:rsidRPr="000345C2" w:rsidRDefault="00936531" w:rsidP="00FF7A3E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</w:p>
    <w:p w14:paraId="60453BB2" w14:textId="19572A04" w:rsidR="000345C2" w:rsidRPr="004B0E30" w:rsidRDefault="000345C2" w:rsidP="000345C2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4B0E30">
        <w:rPr>
          <w:rFonts w:asciiTheme="minorBidi" w:hAnsiTheme="minorBidi" w:cstheme="minorBidi"/>
          <w:b/>
          <w:bCs/>
          <w:sz w:val="28"/>
          <w:szCs w:val="28"/>
        </w:rPr>
        <w:lastRenderedPageBreak/>
        <w:t>Scope</w:t>
      </w:r>
    </w:p>
    <w:p w14:paraId="2C8A8168" w14:textId="3FF38F74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>Grievances differ from academic appeals as they focus on service-related issues rather than academic outcomes. Learners or staff may file grievances in cases of unresolved disputes or differences with TQTI (individual or department) concerning non-academic decisions or services provided. This policy applies to matters outside the scope of other established policies at TQTI.</w:t>
      </w:r>
    </w:p>
    <w:p w14:paraId="58934786" w14:textId="5DF675E1" w:rsidR="000345C2" w:rsidRPr="004B0E30" w:rsidRDefault="004B0E30" w:rsidP="000345C2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4B0E30">
        <w:rPr>
          <w:rFonts w:asciiTheme="minorBidi" w:hAnsiTheme="minorBidi" w:cstheme="minorBidi"/>
          <w:b/>
          <w:bCs/>
          <w:sz w:val="28"/>
          <w:szCs w:val="28"/>
        </w:rPr>
        <w:t>Procedure</w:t>
      </w:r>
      <w:r w:rsidR="000345C2" w:rsidRPr="004B0E30">
        <w:rPr>
          <w:rFonts w:asciiTheme="minorBidi" w:hAnsiTheme="minorBidi" w:cstheme="minorBidi"/>
          <w:b/>
          <w:bCs/>
          <w:sz w:val="28"/>
          <w:szCs w:val="28"/>
        </w:rPr>
        <w:t xml:space="preserve"> Statements</w:t>
      </w:r>
    </w:p>
    <w:p w14:paraId="252BCA3B" w14:textId="77777777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>Grievances may arise in relation to non-academic concerns. However, specific types of complaints are addressed through separate policies:</w:t>
      </w:r>
    </w:p>
    <w:p w14:paraId="1BF9F827" w14:textId="6C341564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>- Sexual Harassment or Discrimination: Managed under the Discrimination Complaint Procedure.</w:t>
      </w:r>
    </w:p>
    <w:p w14:paraId="5FB1A4EA" w14:textId="2B4AC7EC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>- Disability Services Complaints: Addressed via the Trainees with Disabilities Policy.</w:t>
      </w:r>
    </w:p>
    <w:p w14:paraId="3D10A06A" w14:textId="760F7800" w:rsidR="000345C2" w:rsidRPr="000345C2" w:rsidRDefault="000345C2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 xml:space="preserve">- Learner Conduct Complaints: Governed by the </w:t>
      </w:r>
      <w:r w:rsidR="00E152CC">
        <w:rPr>
          <w:rFonts w:asciiTheme="minorBidi" w:hAnsiTheme="minorBidi" w:cstheme="minorBidi"/>
          <w:sz w:val="28"/>
          <w:szCs w:val="28"/>
        </w:rPr>
        <w:t xml:space="preserve">Appeals Process </w:t>
      </w:r>
      <w:r w:rsidRPr="000345C2">
        <w:rPr>
          <w:rFonts w:asciiTheme="minorBidi" w:hAnsiTheme="minorBidi" w:cstheme="minorBidi"/>
          <w:sz w:val="28"/>
          <w:szCs w:val="28"/>
        </w:rPr>
        <w:t>Procedure.</w:t>
      </w:r>
    </w:p>
    <w:p w14:paraId="530AEBC3" w14:textId="55D07499" w:rsidR="0027094D" w:rsidRPr="00FD43BE" w:rsidRDefault="000345C2" w:rsidP="00FF7A3E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0345C2">
        <w:rPr>
          <w:rFonts w:asciiTheme="minorBidi" w:hAnsiTheme="minorBidi" w:cstheme="minorBidi"/>
          <w:sz w:val="28"/>
          <w:szCs w:val="28"/>
        </w:rPr>
        <w:t xml:space="preserve">- Academic Appeals (e.g., grading issues): Handled through the </w:t>
      </w:r>
      <w:r w:rsidR="00E152CC">
        <w:rPr>
          <w:rFonts w:asciiTheme="minorBidi" w:hAnsiTheme="minorBidi" w:cstheme="minorBidi"/>
          <w:sz w:val="28"/>
          <w:szCs w:val="28"/>
        </w:rPr>
        <w:t xml:space="preserve">Appeals Process </w:t>
      </w:r>
      <w:r w:rsidR="00E152CC" w:rsidRPr="000345C2">
        <w:rPr>
          <w:rFonts w:asciiTheme="minorBidi" w:hAnsiTheme="minorBidi" w:cstheme="minorBidi"/>
          <w:sz w:val="28"/>
          <w:szCs w:val="28"/>
        </w:rPr>
        <w:t>Procedure.</w:t>
      </w:r>
    </w:p>
    <w:p w14:paraId="17BC572B" w14:textId="104B409F" w:rsidR="00FD43BE" w:rsidRPr="00FD43BE" w:rsidRDefault="00FD43BE" w:rsidP="00FD43BE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FD43BE">
        <w:rPr>
          <w:rFonts w:asciiTheme="minorBidi" w:hAnsiTheme="minorBidi" w:cstheme="minorBidi"/>
          <w:b/>
          <w:bCs/>
          <w:sz w:val="28"/>
          <w:szCs w:val="28"/>
        </w:rPr>
        <w:t>Addressing Service-Related Issues</w:t>
      </w:r>
    </w:p>
    <w:p w14:paraId="406449D0" w14:textId="5DF9DE42" w:rsidR="00FD43BE" w:rsidRDefault="00FD43BE" w:rsidP="00FF7A3E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FD43BE">
        <w:rPr>
          <w:rFonts w:asciiTheme="minorBidi" w:hAnsiTheme="minorBidi" w:cstheme="minorBidi"/>
          <w:sz w:val="28"/>
          <w:szCs w:val="28"/>
        </w:rPr>
        <w:t>When grievance involves both service-related issues and academic evaluations, priority will be given to resolving the service-related concerns first.</w:t>
      </w:r>
    </w:p>
    <w:p w14:paraId="34D98E66" w14:textId="77777777" w:rsidR="00936531" w:rsidRDefault="00936531" w:rsidP="00FF7A3E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</w:p>
    <w:p w14:paraId="2DAD16CD" w14:textId="77777777" w:rsidR="00936531" w:rsidRPr="00FD43BE" w:rsidRDefault="00936531" w:rsidP="00FF7A3E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</w:p>
    <w:p w14:paraId="123919AF" w14:textId="7071E910" w:rsidR="00FD43BE" w:rsidRPr="00FD43BE" w:rsidRDefault="00FD43BE" w:rsidP="00FD43BE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FD43BE">
        <w:rPr>
          <w:rFonts w:asciiTheme="minorBidi" w:hAnsiTheme="minorBidi" w:cstheme="minorBidi"/>
          <w:b/>
          <w:bCs/>
          <w:sz w:val="28"/>
          <w:szCs w:val="28"/>
        </w:rPr>
        <w:lastRenderedPageBreak/>
        <w:t>Informal Resolution Process</w:t>
      </w:r>
    </w:p>
    <w:p w14:paraId="4FA336C6" w14:textId="1BF88C92" w:rsidR="00FD43BE" w:rsidRPr="00FD43BE" w:rsidRDefault="00FD43BE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FD43BE">
        <w:rPr>
          <w:rFonts w:asciiTheme="minorBidi" w:hAnsiTheme="minorBidi" w:cstheme="minorBidi"/>
          <w:sz w:val="28"/>
          <w:szCs w:val="28"/>
        </w:rPr>
        <w:t xml:space="preserve">Learners are encouraged to resolve grievances informally by discussing their concerns directly with the relevant individual, administrator, or department. This step should be initiated within </w:t>
      </w:r>
      <w:r>
        <w:rPr>
          <w:rFonts w:asciiTheme="minorBidi" w:hAnsiTheme="minorBidi" w:cstheme="minorBidi"/>
          <w:sz w:val="28"/>
          <w:szCs w:val="28"/>
        </w:rPr>
        <w:t>10</w:t>
      </w:r>
      <w:r w:rsidRPr="00FD43BE">
        <w:rPr>
          <w:rFonts w:asciiTheme="minorBidi" w:hAnsiTheme="minorBidi" w:cstheme="minorBidi"/>
          <w:sz w:val="28"/>
          <w:szCs w:val="28"/>
        </w:rPr>
        <w:t xml:space="preserve"> working days following the event or decision that prompted the grievance.</w:t>
      </w:r>
    </w:p>
    <w:p w14:paraId="43793A8C" w14:textId="01AE6F82" w:rsidR="00FD43BE" w:rsidRPr="00FD43BE" w:rsidRDefault="00FD43BE" w:rsidP="00FD43BE">
      <w:pPr>
        <w:tabs>
          <w:tab w:val="left" w:pos="6802"/>
        </w:tabs>
        <w:rPr>
          <w:rFonts w:asciiTheme="minorBidi" w:hAnsiTheme="minorBidi" w:cstheme="minorBidi"/>
          <w:b/>
          <w:bCs/>
          <w:sz w:val="28"/>
          <w:szCs w:val="28"/>
        </w:rPr>
      </w:pPr>
      <w:r w:rsidRPr="00FD43BE">
        <w:rPr>
          <w:rFonts w:asciiTheme="minorBidi" w:hAnsiTheme="minorBidi" w:cstheme="minorBidi"/>
          <w:b/>
          <w:bCs/>
          <w:sz w:val="28"/>
          <w:szCs w:val="28"/>
        </w:rPr>
        <w:t>Formal Grievance Process</w:t>
      </w:r>
    </w:p>
    <w:p w14:paraId="25AD93D8" w14:textId="77777777" w:rsidR="00FD43BE" w:rsidRDefault="00FD43BE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FD43BE">
        <w:rPr>
          <w:rFonts w:asciiTheme="minorBidi" w:hAnsiTheme="minorBidi" w:cstheme="minorBidi"/>
          <w:sz w:val="28"/>
          <w:szCs w:val="28"/>
        </w:rPr>
        <w:t xml:space="preserve">Should the informal resolution process fail to achieve a satisfactory outcome, learners may file formal grievance. </w:t>
      </w:r>
    </w:p>
    <w:p w14:paraId="1CC7E6ED" w14:textId="1762002E" w:rsidR="00FD43BE" w:rsidRPr="00FD43BE" w:rsidRDefault="00FD43BE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FD43BE">
        <w:rPr>
          <w:rFonts w:asciiTheme="minorBidi" w:hAnsiTheme="minorBidi" w:cstheme="minorBidi"/>
          <w:sz w:val="28"/>
          <w:szCs w:val="28"/>
        </w:rPr>
        <w:t>To do so:</w:t>
      </w:r>
    </w:p>
    <w:p w14:paraId="3BF2D250" w14:textId="0C0357EC" w:rsidR="00FD43BE" w:rsidRPr="00FD43BE" w:rsidRDefault="00FD43BE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FD43BE">
        <w:rPr>
          <w:rFonts w:asciiTheme="minorBidi" w:hAnsiTheme="minorBidi" w:cstheme="minorBidi"/>
          <w:sz w:val="28"/>
          <w:szCs w:val="28"/>
        </w:rPr>
        <w:t>- Submit a written grievance to the relevant administrator</w:t>
      </w:r>
      <w:r w:rsidR="00014D35">
        <w:rPr>
          <w:rFonts w:asciiTheme="minorBidi" w:hAnsiTheme="minorBidi" w:cstheme="minorBidi"/>
          <w:sz w:val="28"/>
          <w:szCs w:val="28"/>
        </w:rPr>
        <w:t xml:space="preserve"> (if available), or submit the form to TQTI Manager directly </w:t>
      </w:r>
      <w:r w:rsidRPr="00FD43BE">
        <w:rPr>
          <w:rFonts w:asciiTheme="minorBidi" w:hAnsiTheme="minorBidi" w:cstheme="minorBidi"/>
          <w:sz w:val="28"/>
          <w:szCs w:val="28"/>
        </w:rPr>
        <w:t xml:space="preserve">within </w:t>
      </w:r>
      <w:r w:rsidR="00014D35">
        <w:rPr>
          <w:rFonts w:asciiTheme="minorBidi" w:hAnsiTheme="minorBidi" w:cstheme="minorBidi"/>
          <w:sz w:val="28"/>
          <w:szCs w:val="28"/>
        </w:rPr>
        <w:t>two</w:t>
      </w:r>
      <w:r w:rsidRPr="00FD43BE">
        <w:rPr>
          <w:rFonts w:asciiTheme="minorBidi" w:hAnsiTheme="minorBidi" w:cstheme="minorBidi"/>
          <w:sz w:val="28"/>
          <w:szCs w:val="28"/>
        </w:rPr>
        <w:t xml:space="preserve"> working days of the event or decision.</w:t>
      </w:r>
    </w:p>
    <w:p w14:paraId="6D7B1416" w14:textId="77777777" w:rsidR="00FD43BE" w:rsidRPr="00FD43BE" w:rsidRDefault="00FD43BE" w:rsidP="0027094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FD43BE">
        <w:rPr>
          <w:rFonts w:asciiTheme="minorBidi" w:hAnsiTheme="minorBidi" w:cstheme="minorBidi"/>
          <w:sz w:val="28"/>
          <w:szCs w:val="28"/>
        </w:rPr>
        <w:t>- Clearly outline the nature of the issue, desired resolution, and any previous attempts to resolve the matter.</w:t>
      </w:r>
    </w:p>
    <w:p w14:paraId="6E69F5B9" w14:textId="5197CC5D" w:rsidR="00C57361" w:rsidRDefault="00FD43BE" w:rsidP="00886D0D">
      <w:pPr>
        <w:tabs>
          <w:tab w:val="left" w:pos="6802"/>
        </w:tabs>
        <w:jc w:val="both"/>
        <w:rPr>
          <w:rFonts w:asciiTheme="minorBidi" w:hAnsiTheme="minorBidi" w:cstheme="minorBidi"/>
          <w:sz w:val="28"/>
          <w:szCs w:val="28"/>
        </w:rPr>
      </w:pPr>
      <w:r w:rsidRPr="00FD43BE">
        <w:rPr>
          <w:rFonts w:asciiTheme="minorBidi" w:hAnsiTheme="minorBidi" w:cstheme="minorBidi"/>
          <w:sz w:val="28"/>
          <w:szCs w:val="28"/>
        </w:rPr>
        <w:t>The administrator</w:t>
      </w:r>
      <w:r w:rsidR="00C57361">
        <w:rPr>
          <w:rFonts w:asciiTheme="minorBidi" w:hAnsiTheme="minorBidi" w:cstheme="minorBidi"/>
          <w:sz w:val="28"/>
          <w:szCs w:val="28"/>
        </w:rPr>
        <w:t xml:space="preserve"> or TQTI Manager</w:t>
      </w:r>
      <w:r w:rsidRPr="00FD43BE">
        <w:rPr>
          <w:rFonts w:asciiTheme="minorBidi" w:hAnsiTheme="minorBidi" w:cstheme="minorBidi"/>
          <w:sz w:val="28"/>
          <w:szCs w:val="28"/>
        </w:rPr>
        <w:t xml:space="preserve"> will conduct a review and respond in writing within </w:t>
      </w:r>
      <w:r w:rsidR="00C57361">
        <w:rPr>
          <w:rFonts w:asciiTheme="minorBidi" w:hAnsiTheme="minorBidi" w:cstheme="minorBidi"/>
          <w:sz w:val="28"/>
          <w:szCs w:val="28"/>
        </w:rPr>
        <w:t xml:space="preserve">five </w:t>
      </w:r>
      <w:r w:rsidRPr="00FD43BE">
        <w:rPr>
          <w:rFonts w:asciiTheme="minorBidi" w:hAnsiTheme="minorBidi" w:cstheme="minorBidi"/>
          <w:sz w:val="28"/>
          <w:szCs w:val="28"/>
        </w:rPr>
        <w:t>working days of receiving the grievance. If additional time is required due to exceptional circumstances, learners will be informed accordingly.</w:t>
      </w:r>
    </w:p>
    <w:p w14:paraId="41315F06" w14:textId="5106C5B2" w:rsidR="009B5AE0" w:rsidRPr="008D1B3C" w:rsidRDefault="009B5AE0" w:rsidP="00FF7A3E">
      <w:pPr>
        <w:tabs>
          <w:tab w:val="left" w:pos="6802"/>
        </w:tabs>
      </w:pPr>
      <w:r w:rsidRPr="008D1B3C">
        <w:t xml:space="preserve">                                                                  </w:t>
      </w:r>
      <w:r w:rsidR="00FF7A3E">
        <w:rPr>
          <w:noProof/>
        </w:rPr>
        <w:drawing>
          <wp:inline distT="0" distB="0" distL="0" distR="0" wp14:anchorId="0BDB2A63" wp14:editId="71F5E0F1">
            <wp:extent cx="1127760" cy="646430"/>
            <wp:effectExtent l="0" t="0" r="0" b="1270"/>
            <wp:docPr id="5250789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77CF5F" w14:textId="6CC9AEA7" w:rsidR="009B5AE0" w:rsidRPr="008D1B3C" w:rsidRDefault="00C07ADF" w:rsidP="009B5AE0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="009B5AE0" w:rsidRPr="008D1B3C">
        <w:rPr>
          <w:b/>
          <w:bCs/>
        </w:rPr>
        <w:t>Dr. Sam</w:t>
      </w:r>
      <w:r>
        <w:rPr>
          <w:b/>
          <w:bCs/>
        </w:rPr>
        <w:t>i</w:t>
      </w:r>
      <w:r w:rsidR="009B5AE0" w:rsidRPr="008D1B3C">
        <w:rPr>
          <w:b/>
          <w:bCs/>
        </w:rPr>
        <w:t>r Al Bahrani</w:t>
      </w:r>
    </w:p>
    <w:p w14:paraId="335B600E" w14:textId="3272F449" w:rsidR="009B5AE0" w:rsidRPr="00FB5A7D" w:rsidRDefault="009B5AE0" w:rsidP="009B5AE0">
      <w:pPr>
        <w:tabs>
          <w:tab w:val="left" w:pos="6802"/>
        </w:tabs>
        <w:rPr>
          <w:b/>
          <w:bCs/>
        </w:rPr>
      </w:pPr>
      <w:r w:rsidRPr="008D1B3C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</w:t>
      </w:r>
      <w:r w:rsidR="00D155B9">
        <w:rPr>
          <w:b/>
          <w:bCs/>
        </w:rPr>
        <w:t>June</w:t>
      </w:r>
      <w:r>
        <w:rPr>
          <w:b/>
          <w:bCs/>
        </w:rPr>
        <w:t xml:space="preserve"> / 2026</w:t>
      </w:r>
    </w:p>
    <w:p w14:paraId="6D65212F" w14:textId="4EFB55FB" w:rsidR="002D479A" w:rsidRPr="00FF7A3E" w:rsidRDefault="009B5AE0" w:rsidP="00FF7A3E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 w:rsidR="00D155B9"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sectPr w:rsidR="002D479A" w:rsidRPr="00FF7A3E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C2454" w14:textId="77777777" w:rsidR="0048125C" w:rsidRDefault="0048125C" w:rsidP="002C7D37">
      <w:pPr>
        <w:spacing w:after="0" w:line="240" w:lineRule="auto"/>
      </w:pPr>
      <w:r>
        <w:separator/>
      </w:r>
    </w:p>
  </w:endnote>
  <w:endnote w:type="continuationSeparator" w:id="0">
    <w:p w14:paraId="72EA9A72" w14:textId="77777777" w:rsidR="0048125C" w:rsidRDefault="0048125C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07911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545D68" w14:textId="77777777" w:rsidR="00C07ADF" w:rsidRDefault="00C07ADF">
        <w:pPr>
          <w:pStyle w:val="Footer"/>
          <w:jc w:val="right"/>
        </w:pPr>
      </w:p>
      <w:p w14:paraId="482154C2" w14:textId="0C8DBFC1" w:rsidR="00C07ADF" w:rsidRDefault="00C07ADF" w:rsidP="00C07ADF">
        <w:pPr>
          <w:pStyle w:val="Footer"/>
        </w:pPr>
        <w:r w:rsidRPr="008D1B3C">
          <w:rPr>
            <w:b/>
            <w:bCs/>
          </w:rPr>
          <w:t>TQTI-HSE-PR-02</w:t>
        </w:r>
        <w:r w:rsidRPr="008D1B3C">
          <w:t xml:space="preserve">                                       </w:t>
        </w:r>
      </w:p>
      <w:p w14:paraId="021281E6" w14:textId="77777777" w:rsidR="00C07ADF" w:rsidRDefault="00C07ADF">
        <w:pPr>
          <w:pStyle w:val="Footer"/>
          <w:jc w:val="right"/>
        </w:pPr>
      </w:p>
      <w:p w14:paraId="0E351C19" w14:textId="2054CAD1" w:rsidR="00C07ADF" w:rsidRDefault="00C07ADF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54B9D6DF" wp14:editId="347A0771">
              <wp:simplePos x="0" y="0"/>
              <wp:positionH relativeFrom="column">
                <wp:posOffset>-888230</wp:posOffset>
              </wp:positionH>
              <wp:positionV relativeFrom="paragraph">
                <wp:posOffset>151130</wp:posOffset>
              </wp:positionV>
              <wp:extent cx="7759700" cy="617855"/>
              <wp:effectExtent l="0" t="0" r="0" b="0"/>
              <wp:wrapNone/>
              <wp:docPr id="565397235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07296754" name="Picture 150729675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59700" cy="6178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2EC91B37" w14:textId="45246573" w:rsidR="00C07ADF" w:rsidRDefault="00C07ADF">
        <w:pPr>
          <w:pStyle w:val="Footer"/>
          <w:jc w:val="right"/>
        </w:pPr>
      </w:p>
      <w:p w14:paraId="7D74F472" w14:textId="7FEA92FF" w:rsidR="00C07ADF" w:rsidRDefault="00C07ADF" w:rsidP="00C07ADF">
        <w:pPr>
          <w:pStyle w:val="Footer"/>
          <w:tabs>
            <w:tab w:val="left" w:pos="1307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71AEFF" w14:textId="1263453E" w:rsidR="002C7D37" w:rsidRDefault="002C7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3246E" w14:textId="77777777" w:rsidR="0048125C" w:rsidRDefault="0048125C" w:rsidP="002C7D37">
      <w:pPr>
        <w:spacing w:after="0" w:line="240" w:lineRule="auto"/>
      </w:pPr>
      <w:r>
        <w:separator/>
      </w:r>
    </w:p>
  </w:footnote>
  <w:footnote w:type="continuationSeparator" w:id="0">
    <w:p w14:paraId="690D7823" w14:textId="77777777" w:rsidR="0048125C" w:rsidRDefault="0048125C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7D061B6D" w:rsidR="002C7D37" w:rsidRDefault="00014D35">
    <w:pPr>
      <w:pStyle w:val="Header"/>
      <w:rPr>
        <w:noProof/>
        <w:lang w:val="en-IN"/>
      </w:rPr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2336" behindDoc="0" locked="0" layoutInCell="1" allowOverlap="1" wp14:anchorId="78F9419B" wp14:editId="6D16FE77">
          <wp:simplePos x="0" y="0"/>
          <wp:positionH relativeFrom="margin">
            <wp:align>center</wp:align>
          </wp:positionH>
          <wp:positionV relativeFrom="paragraph">
            <wp:posOffset>42273</wp:posOffset>
          </wp:positionV>
          <wp:extent cx="7668000" cy="1074894"/>
          <wp:effectExtent l="0" t="0" r="0" b="0"/>
          <wp:wrapNone/>
          <wp:docPr id="1932883878" name="Picture 19328838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r="485" b="90177"/>
                  <a:stretch>
                    <a:fillRect/>
                  </a:stretch>
                </pic:blipFill>
                <pic:spPr bwMode="auto">
                  <a:xfrm>
                    <a:off x="0" y="0"/>
                    <a:ext cx="7668000" cy="10748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534F6A" w14:textId="2708391B" w:rsidR="00014D35" w:rsidRDefault="00014D35">
    <w:pPr>
      <w:pStyle w:val="Header"/>
      <w:rPr>
        <w:noProof/>
        <w:lang w:val="en-IN"/>
      </w:rPr>
    </w:pPr>
  </w:p>
  <w:p w14:paraId="691C617B" w14:textId="440398CE" w:rsidR="00014D35" w:rsidRDefault="00014D35">
    <w:pPr>
      <w:pStyle w:val="Header"/>
      <w:rPr>
        <w:noProof/>
        <w:lang w:val="en-IN"/>
      </w:rPr>
    </w:pPr>
  </w:p>
  <w:p w14:paraId="75638838" w14:textId="1410110B" w:rsidR="00014D35" w:rsidRDefault="00014D35">
    <w:pPr>
      <w:pStyle w:val="Header"/>
      <w:rPr>
        <w:noProof/>
        <w:lang w:val="en-IN"/>
      </w:rPr>
    </w:pPr>
  </w:p>
  <w:p w14:paraId="39F73A7B" w14:textId="0B591D45" w:rsidR="00014D35" w:rsidRDefault="00014D35">
    <w:pPr>
      <w:pStyle w:val="Header"/>
      <w:rPr>
        <w:noProof/>
        <w:lang w:val="en-IN"/>
      </w:rPr>
    </w:pPr>
  </w:p>
  <w:p w14:paraId="68564146" w14:textId="450D45E4" w:rsidR="00014D35" w:rsidRDefault="00014D35">
    <w:pPr>
      <w:pStyle w:val="Header"/>
      <w:rPr>
        <w:noProof/>
        <w:lang w:val="en-IN"/>
      </w:rPr>
    </w:pPr>
  </w:p>
  <w:p w14:paraId="047F123B" w14:textId="11AEFC60" w:rsidR="00014D35" w:rsidRDefault="00014D35">
    <w:pPr>
      <w:pStyle w:val="Header"/>
      <w:rPr>
        <w:noProof/>
        <w:lang w:val="en-IN"/>
      </w:rPr>
    </w:pPr>
  </w:p>
  <w:p w14:paraId="6A5D2283" w14:textId="0E689053" w:rsidR="00014D35" w:rsidRDefault="00014D35">
    <w:pPr>
      <w:pStyle w:val="Header"/>
      <w:rPr>
        <w:noProof/>
        <w:lang w:val="en-IN"/>
      </w:rPr>
    </w:pPr>
  </w:p>
  <w:p w14:paraId="701458B4" w14:textId="6CF7E481" w:rsidR="00014D35" w:rsidRPr="00014D35" w:rsidRDefault="00014D35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74B01"/>
    <w:multiLevelType w:val="hybridMultilevel"/>
    <w:tmpl w:val="E71A5470"/>
    <w:lvl w:ilvl="0" w:tplc="8910C9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41E8A"/>
    <w:multiLevelType w:val="hybridMultilevel"/>
    <w:tmpl w:val="9DB22180"/>
    <w:lvl w:ilvl="0" w:tplc="CB7E2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9340">
    <w:abstractNumId w:val="3"/>
  </w:num>
  <w:num w:numId="2" w16cid:durableId="1841971317">
    <w:abstractNumId w:val="0"/>
  </w:num>
  <w:num w:numId="3" w16cid:durableId="1814173982">
    <w:abstractNumId w:val="1"/>
  </w:num>
  <w:num w:numId="4" w16cid:durableId="1302613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07A8A"/>
    <w:rsid w:val="00014D35"/>
    <w:rsid w:val="00031BC9"/>
    <w:rsid w:val="000345C2"/>
    <w:rsid w:val="00055300"/>
    <w:rsid w:val="000818E2"/>
    <w:rsid w:val="000B0B80"/>
    <w:rsid w:val="000E4F17"/>
    <w:rsid w:val="00182EFF"/>
    <w:rsid w:val="00182F67"/>
    <w:rsid w:val="001F6A80"/>
    <w:rsid w:val="00206EDB"/>
    <w:rsid w:val="0026243F"/>
    <w:rsid w:val="0027094D"/>
    <w:rsid w:val="00295464"/>
    <w:rsid w:val="002A2C9D"/>
    <w:rsid w:val="002C7D37"/>
    <w:rsid w:val="002D479A"/>
    <w:rsid w:val="00345F11"/>
    <w:rsid w:val="00351E2C"/>
    <w:rsid w:val="003A6D3D"/>
    <w:rsid w:val="003C670F"/>
    <w:rsid w:val="003C6F6A"/>
    <w:rsid w:val="0048125C"/>
    <w:rsid w:val="004A720B"/>
    <w:rsid w:val="004B0E30"/>
    <w:rsid w:val="00512CFE"/>
    <w:rsid w:val="005313FF"/>
    <w:rsid w:val="005470A6"/>
    <w:rsid w:val="005D49E7"/>
    <w:rsid w:val="00622A4E"/>
    <w:rsid w:val="00637CE0"/>
    <w:rsid w:val="006B4EA5"/>
    <w:rsid w:val="007351EB"/>
    <w:rsid w:val="00750207"/>
    <w:rsid w:val="00805722"/>
    <w:rsid w:val="00886D0D"/>
    <w:rsid w:val="008A206C"/>
    <w:rsid w:val="008B7D93"/>
    <w:rsid w:val="008D1B3C"/>
    <w:rsid w:val="008D21E9"/>
    <w:rsid w:val="00911717"/>
    <w:rsid w:val="00936531"/>
    <w:rsid w:val="00936CEE"/>
    <w:rsid w:val="00957F1C"/>
    <w:rsid w:val="009A6D8B"/>
    <w:rsid w:val="009B5AE0"/>
    <w:rsid w:val="00A04962"/>
    <w:rsid w:val="00A16900"/>
    <w:rsid w:val="00A2722B"/>
    <w:rsid w:val="00A40CF0"/>
    <w:rsid w:val="00A53EE6"/>
    <w:rsid w:val="00A55FA5"/>
    <w:rsid w:val="00AF3929"/>
    <w:rsid w:val="00AF762D"/>
    <w:rsid w:val="00B23590"/>
    <w:rsid w:val="00B23BB8"/>
    <w:rsid w:val="00C07ADF"/>
    <w:rsid w:val="00C57361"/>
    <w:rsid w:val="00CD5056"/>
    <w:rsid w:val="00D155B9"/>
    <w:rsid w:val="00D439A0"/>
    <w:rsid w:val="00D90651"/>
    <w:rsid w:val="00D95656"/>
    <w:rsid w:val="00DB2802"/>
    <w:rsid w:val="00DE2279"/>
    <w:rsid w:val="00E152CC"/>
    <w:rsid w:val="00E50292"/>
    <w:rsid w:val="00EC4853"/>
    <w:rsid w:val="00EF5000"/>
    <w:rsid w:val="00FA71FE"/>
    <w:rsid w:val="00FB5A7D"/>
    <w:rsid w:val="00FC2584"/>
    <w:rsid w:val="00FD43BE"/>
    <w:rsid w:val="00FD7471"/>
    <w:rsid w:val="00FE6666"/>
    <w:rsid w:val="00FF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2072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55</cp:revision>
  <cp:lastPrinted>2025-03-28T10:06:00Z</cp:lastPrinted>
  <dcterms:created xsi:type="dcterms:W3CDTF">2025-03-28T10:03:00Z</dcterms:created>
  <dcterms:modified xsi:type="dcterms:W3CDTF">2025-11-08T16:43:00Z</dcterms:modified>
</cp:coreProperties>
</file>